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AEA" w:rsidRPr="005B411F" w:rsidRDefault="005B411F" w:rsidP="005B411F">
      <w:pPr>
        <w:jc w:val="center"/>
        <w:rPr>
          <w:rFonts w:ascii="Arial" w:hAnsi="Arial" w:cs="Arial"/>
          <w:b/>
          <w:color w:val="212529"/>
          <w:sz w:val="21"/>
          <w:szCs w:val="21"/>
          <w:u w:val="single"/>
          <w:shd w:val="clear" w:color="auto" w:fill="FFFFFF"/>
        </w:rPr>
      </w:pPr>
      <w:r w:rsidRPr="005B411F">
        <w:rPr>
          <w:rFonts w:ascii="Arial" w:hAnsi="Arial" w:cs="Arial"/>
          <w:b/>
          <w:color w:val="212529"/>
          <w:sz w:val="21"/>
          <w:szCs w:val="21"/>
          <w:u w:val="single"/>
          <w:shd w:val="clear" w:color="auto" w:fill="FFFFFF"/>
        </w:rPr>
        <w:t>ACCOUNTING &amp; FINANCIAL MANAGEMENT FOR BANKERS</w:t>
      </w:r>
    </w:p>
    <w:p w:rsidR="005B411F" w:rsidRDefault="005B411F">
      <w:pPr>
        <w:rPr>
          <w:rFonts w:ascii="Arial" w:hAnsi="Arial" w:cs="Arial"/>
          <w:b/>
          <w:bCs/>
          <w:color w:val="000000"/>
          <w:sz w:val="20"/>
          <w:szCs w:val="20"/>
        </w:rPr>
      </w:pPr>
      <w:r>
        <w:rPr>
          <w:rFonts w:ascii="Arial" w:hAnsi="Arial" w:cs="Arial"/>
          <w:b/>
          <w:bCs/>
          <w:color w:val="000000"/>
          <w:sz w:val="20"/>
          <w:szCs w:val="20"/>
        </w:rPr>
        <w:t>Reserve Bank of India (Financial Statements - Presentation and Disclosures) Directions, 2021: Presentation of unclaimed liabilities transferred to Depositor Education and Awareness (DEA) Fund</w:t>
      </w:r>
    </w:p>
    <w:p w:rsidR="005B411F" w:rsidRDefault="005B411F" w:rsidP="005B411F">
      <w:pPr>
        <w:pStyle w:val="NormalWeb"/>
        <w:jc w:val="both"/>
        <w:rPr>
          <w:rFonts w:ascii="Arial" w:hAnsi="Arial" w:cs="Arial"/>
          <w:color w:val="000000"/>
          <w:sz w:val="20"/>
          <w:szCs w:val="20"/>
        </w:rPr>
      </w:pPr>
      <w:r>
        <w:rPr>
          <w:rFonts w:ascii="Arial" w:hAnsi="Arial" w:cs="Arial"/>
          <w:color w:val="000000"/>
          <w:sz w:val="20"/>
          <w:szCs w:val="20"/>
        </w:rPr>
        <w:t>RBI/2023-24/71</w:t>
      </w:r>
      <w:r>
        <w:rPr>
          <w:rFonts w:ascii="Arial" w:hAnsi="Arial" w:cs="Arial"/>
          <w:color w:val="000000"/>
          <w:sz w:val="20"/>
          <w:szCs w:val="20"/>
        </w:rPr>
        <w:br/>
        <w:t>DOR.ACC.47/21.04.018/2023-24</w:t>
      </w:r>
    </w:p>
    <w:p w:rsidR="005B411F" w:rsidRDefault="005B411F" w:rsidP="005B411F">
      <w:pPr>
        <w:pStyle w:val="NormalWeb"/>
        <w:jc w:val="right"/>
        <w:rPr>
          <w:rFonts w:ascii="Arial" w:hAnsi="Arial" w:cs="Arial"/>
          <w:color w:val="000000"/>
          <w:sz w:val="20"/>
          <w:szCs w:val="20"/>
        </w:rPr>
      </w:pPr>
      <w:r>
        <w:rPr>
          <w:rFonts w:ascii="Arial" w:hAnsi="Arial" w:cs="Arial"/>
          <w:color w:val="000000"/>
          <w:sz w:val="20"/>
          <w:szCs w:val="20"/>
        </w:rPr>
        <w:t>October 25, 2023</w:t>
      </w:r>
    </w:p>
    <w:p w:rsidR="005B411F" w:rsidRDefault="005B411F" w:rsidP="005B411F">
      <w:pPr>
        <w:pStyle w:val="NormalWeb"/>
        <w:jc w:val="both"/>
        <w:rPr>
          <w:rFonts w:ascii="Arial" w:hAnsi="Arial" w:cs="Arial"/>
          <w:color w:val="000000"/>
          <w:sz w:val="20"/>
          <w:szCs w:val="20"/>
        </w:rPr>
      </w:pPr>
      <w:r>
        <w:rPr>
          <w:rFonts w:ascii="Arial" w:hAnsi="Arial" w:cs="Arial"/>
          <w:color w:val="000000"/>
          <w:sz w:val="20"/>
          <w:szCs w:val="20"/>
        </w:rPr>
        <w:t>Madam / Sir,</w:t>
      </w:r>
      <w:bookmarkStart w:id="0" w:name="_GoBack"/>
      <w:bookmarkEnd w:id="0"/>
    </w:p>
    <w:p w:rsidR="005B411F" w:rsidRDefault="005B411F" w:rsidP="005B411F">
      <w:pPr>
        <w:pStyle w:val="head"/>
        <w:jc w:val="both"/>
        <w:rPr>
          <w:rFonts w:ascii="Arial" w:hAnsi="Arial" w:cs="Arial"/>
          <w:b/>
          <w:bCs/>
          <w:color w:val="000000"/>
          <w:sz w:val="20"/>
          <w:szCs w:val="20"/>
        </w:rPr>
      </w:pPr>
      <w:r>
        <w:rPr>
          <w:rFonts w:ascii="Arial" w:hAnsi="Arial" w:cs="Arial"/>
          <w:b/>
          <w:bCs/>
          <w:color w:val="000000"/>
          <w:sz w:val="20"/>
          <w:szCs w:val="20"/>
        </w:rPr>
        <w:t>Reserve Bank of India (Financial Statements - Presentation and Disclosures) Directions, 2021: Presentation of unclaimed liabilities transferred to Depositor Education and Awareness (DEA) Fund</w:t>
      </w:r>
    </w:p>
    <w:p w:rsidR="005B411F" w:rsidRDefault="005B411F" w:rsidP="005B411F">
      <w:pPr>
        <w:pStyle w:val="NormalWeb"/>
        <w:jc w:val="both"/>
        <w:rPr>
          <w:rFonts w:ascii="Arial" w:hAnsi="Arial" w:cs="Arial"/>
          <w:color w:val="000000"/>
          <w:sz w:val="20"/>
          <w:szCs w:val="20"/>
        </w:rPr>
      </w:pPr>
      <w:r>
        <w:rPr>
          <w:rFonts w:ascii="Arial" w:hAnsi="Arial" w:cs="Arial"/>
          <w:color w:val="000000"/>
          <w:sz w:val="20"/>
          <w:szCs w:val="20"/>
        </w:rPr>
        <w:t>The ‘Notes and Instructions for compilation’ given in Annex II to the </w:t>
      </w:r>
      <w:hyperlink r:id="rId4" w:tgtFrame="_blank" w:history="1">
        <w:r>
          <w:rPr>
            <w:rStyle w:val="Hyperlink"/>
            <w:rFonts w:ascii="Arial" w:hAnsi="Arial" w:cs="Arial"/>
            <w:sz w:val="20"/>
            <w:szCs w:val="20"/>
          </w:rPr>
          <w:t>Reserve Bank of India (Financial Statements - Presentation and Disclosures) Directions, 2021 (Master Direction)</w:t>
        </w:r>
      </w:hyperlink>
      <w:r>
        <w:rPr>
          <w:rFonts w:ascii="Arial" w:hAnsi="Arial" w:cs="Arial"/>
          <w:color w:val="000000"/>
          <w:sz w:val="20"/>
          <w:szCs w:val="20"/>
        </w:rPr>
        <w:t> require commercial banks to present all unclaimed liabilities, where the amount due has been transferred to the Depositor Education and Awareness (DEA) Fund established under the DEA Fund Scheme, 2014, under ‘Schedule 12- Contingent Liabilities - Other items for which the bank is contingently liable’.</w:t>
      </w:r>
    </w:p>
    <w:p w:rsidR="005B411F" w:rsidRDefault="005B411F" w:rsidP="005B411F">
      <w:pPr>
        <w:pStyle w:val="NormalWeb"/>
        <w:jc w:val="both"/>
        <w:rPr>
          <w:rFonts w:ascii="Arial" w:hAnsi="Arial" w:cs="Arial"/>
          <w:color w:val="000000"/>
          <w:sz w:val="20"/>
          <w:szCs w:val="20"/>
        </w:rPr>
      </w:pPr>
      <w:r>
        <w:rPr>
          <w:rFonts w:ascii="Arial" w:hAnsi="Arial" w:cs="Arial"/>
          <w:color w:val="000000"/>
          <w:sz w:val="20"/>
          <w:szCs w:val="20"/>
        </w:rPr>
        <w:t>2. To ensure consistency in presentation of financial statements, it is advised that all co-operative banks shall present all unclaimed liabilities (where the amount due has been transferred to DEA Fund) under “Contingent Liabilities – Others”.</w:t>
      </w:r>
    </w:p>
    <w:p w:rsidR="005B411F" w:rsidRDefault="005B411F" w:rsidP="005B411F">
      <w:pPr>
        <w:pStyle w:val="NormalWeb"/>
        <w:jc w:val="both"/>
        <w:rPr>
          <w:rFonts w:ascii="Arial" w:hAnsi="Arial" w:cs="Arial"/>
          <w:color w:val="000000"/>
          <w:sz w:val="20"/>
          <w:szCs w:val="20"/>
        </w:rPr>
      </w:pPr>
      <w:r>
        <w:rPr>
          <w:rFonts w:ascii="Arial" w:hAnsi="Arial" w:cs="Arial"/>
          <w:color w:val="000000"/>
          <w:sz w:val="20"/>
          <w:szCs w:val="20"/>
        </w:rPr>
        <w:t>3. Further, all banks shall specify in the disclosures</w:t>
      </w:r>
      <w:hyperlink r:id="rId5" w:anchor="F1" w:history="1">
        <w:r>
          <w:rPr>
            <w:rStyle w:val="Hyperlink"/>
            <w:rFonts w:ascii="Arial" w:hAnsi="Arial" w:cs="Arial"/>
            <w:sz w:val="15"/>
            <w:szCs w:val="15"/>
            <w:vertAlign w:val="superscript"/>
          </w:rPr>
          <w:t>1</w:t>
        </w:r>
      </w:hyperlink>
      <w:r>
        <w:rPr>
          <w:rFonts w:ascii="Arial" w:hAnsi="Arial" w:cs="Arial"/>
          <w:color w:val="000000"/>
          <w:sz w:val="20"/>
          <w:szCs w:val="20"/>
        </w:rPr>
        <w:t> in the notes to accounts to the financial statements that balances of the amount transferred to DEA Fund are included under 'Schedule 12 - Contingent Liabilities - Other items for which the bank is contingently liable' or 'Contingent Liabilities - Others,' as the case may be.</w:t>
      </w:r>
    </w:p>
    <w:p w:rsidR="005B411F" w:rsidRDefault="005B411F" w:rsidP="005B411F">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5B411F" w:rsidRDefault="005B411F" w:rsidP="005B411F">
      <w:pPr>
        <w:pStyle w:val="NormalWeb"/>
        <w:jc w:val="both"/>
        <w:rPr>
          <w:rFonts w:ascii="Arial" w:hAnsi="Arial" w:cs="Arial"/>
          <w:color w:val="000000"/>
          <w:sz w:val="20"/>
          <w:szCs w:val="20"/>
        </w:rPr>
      </w:pPr>
      <w:r>
        <w:rPr>
          <w:rFonts w:ascii="Arial" w:hAnsi="Arial" w:cs="Arial"/>
          <w:color w:val="000000"/>
          <w:sz w:val="20"/>
          <w:szCs w:val="20"/>
        </w:rPr>
        <w:t>4. These instructions are applicable to all commercial and cooperative banks for preparation of financial statements for the financial year ending March 31, 2024 and onwards.</w:t>
      </w:r>
    </w:p>
    <w:p w:rsidR="005B411F" w:rsidRDefault="005B411F" w:rsidP="005B411F">
      <w:pPr>
        <w:pStyle w:val="NormalWeb"/>
        <w:jc w:val="both"/>
        <w:rPr>
          <w:rFonts w:ascii="Arial" w:hAnsi="Arial" w:cs="Arial"/>
          <w:color w:val="000000"/>
          <w:sz w:val="20"/>
          <w:szCs w:val="20"/>
        </w:rPr>
      </w:pPr>
      <w:r>
        <w:rPr>
          <w:rFonts w:ascii="Arial" w:hAnsi="Arial" w:cs="Arial"/>
          <w:color w:val="000000"/>
          <w:sz w:val="20"/>
          <w:szCs w:val="20"/>
        </w:rPr>
        <w:t>5. The </w:t>
      </w:r>
      <w:hyperlink r:id="rId6" w:tgtFrame="_blank" w:history="1">
        <w:r>
          <w:rPr>
            <w:rStyle w:val="Hyperlink"/>
            <w:rFonts w:ascii="Arial" w:hAnsi="Arial" w:cs="Arial"/>
            <w:sz w:val="20"/>
            <w:szCs w:val="20"/>
          </w:rPr>
          <w:t>Reserve Bank of India (Financial Statements - Presentation and Disclosures) Directions, 2021</w:t>
        </w:r>
      </w:hyperlink>
      <w:r>
        <w:rPr>
          <w:rFonts w:ascii="Arial" w:hAnsi="Arial" w:cs="Arial"/>
          <w:color w:val="000000"/>
          <w:sz w:val="20"/>
          <w:szCs w:val="20"/>
        </w:rPr>
        <w:t> stands updated to reflect these changes.</w:t>
      </w:r>
    </w:p>
    <w:p w:rsidR="005B411F" w:rsidRDefault="005B411F" w:rsidP="005B411F">
      <w:pPr>
        <w:pStyle w:val="NormalWeb"/>
        <w:jc w:val="both"/>
        <w:rPr>
          <w:rFonts w:ascii="Arial" w:hAnsi="Arial" w:cs="Arial"/>
          <w:color w:val="000000"/>
          <w:sz w:val="20"/>
          <w:szCs w:val="20"/>
        </w:rPr>
      </w:pPr>
      <w:r>
        <w:rPr>
          <w:rFonts w:ascii="Arial" w:hAnsi="Arial" w:cs="Arial"/>
          <w:color w:val="000000"/>
          <w:sz w:val="20"/>
          <w:szCs w:val="20"/>
        </w:rPr>
        <w:t>Yours faithfully,</w:t>
      </w:r>
    </w:p>
    <w:p w:rsidR="005B411F" w:rsidRDefault="005B411F" w:rsidP="005B411F">
      <w:pPr>
        <w:pStyle w:val="NormalWeb"/>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5B411F" w:rsidRDefault="005B411F">
      <w:pPr>
        <w:rPr>
          <w:rFonts w:ascii="Arial" w:hAnsi="Arial" w:cs="Arial"/>
          <w:color w:val="212529"/>
          <w:sz w:val="21"/>
          <w:szCs w:val="21"/>
          <w:shd w:val="clear" w:color="auto" w:fill="FFFFFF"/>
        </w:rPr>
      </w:pPr>
      <w:r w:rsidRPr="005B411F">
        <w:rPr>
          <w:rFonts w:ascii="Arial" w:hAnsi="Arial" w:cs="Arial"/>
          <w:color w:val="212529"/>
          <w:sz w:val="21"/>
          <w:szCs w:val="21"/>
          <w:shd w:val="clear" w:color="auto" w:fill="FFFFFF"/>
        </w:rPr>
        <w:t>For more details, kindly refer:</w:t>
      </w:r>
      <w:r>
        <w:rPr>
          <w:rFonts w:ascii="Arial" w:hAnsi="Arial" w:cs="Arial"/>
          <w:color w:val="212529"/>
          <w:sz w:val="21"/>
          <w:szCs w:val="21"/>
          <w:shd w:val="clear" w:color="auto" w:fill="FFFFFF"/>
        </w:rPr>
        <w:t xml:space="preserve"> </w:t>
      </w:r>
      <w:hyperlink r:id="rId7" w:history="1">
        <w:r w:rsidRPr="003373AA">
          <w:rPr>
            <w:rStyle w:val="Hyperlink"/>
            <w:rFonts w:ascii="Arial" w:hAnsi="Arial" w:cs="Arial"/>
            <w:sz w:val="21"/>
            <w:szCs w:val="21"/>
            <w:shd w:val="clear" w:color="auto" w:fill="FFFFFF"/>
          </w:rPr>
          <w:t>https://www.rbi.org.in/Scripts/NotificationUser.aspx?Id=12552&amp;Mode=0</w:t>
        </w:r>
      </w:hyperlink>
      <w:r>
        <w:rPr>
          <w:rFonts w:ascii="Arial" w:hAnsi="Arial" w:cs="Arial"/>
          <w:color w:val="212529"/>
          <w:sz w:val="21"/>
          <w:szCs w:val="21"/>
          <w:shd w:val="clear" w:color="auto" w:fill="FFFFFF"/>
        </w:rPr>
        <w:t xml:space="preserve"> </w:t>
      </w:r>
    </w:p>
    <w:p w:rsidR="005B411F" w:rsidRDefault="005B411F"/>
    <w:sectPr w:rsidR="005B41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1F"/>
    <w:rsid w:val="005B411F"/>
    <w:rsid w:val="008176BF"/>
    <w:rsid w:val="008250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C3056"/>
  <w15:chartTrackingRefBased/>
  <w15:docId w15:val="{B76615B3-3FFB-44CB-8A12-B9659F65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411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5B411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5B41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97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bi.org.in/Scripts/NotificationUser.aspx?Id=12552&amp;Mode=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bi.org.in/Scripts/BS_ViewMasDirections.aspx?id=12158" TargetMode="External"/><Relationship Id="rId5" Type="http://schemas.openxmlformats.org/officeDocument/2006/relationships/hyperlink" Target="https://www.rbi.org.in/Scripts/NotificationUser.aspx?Id=12552&amp;Mode=0" TargetMode="External"/><Relationship Id="rId4" Type="http://schemas.openxmlformats.org/officeDocument/2006/relationships/hyperlink" Target="https://www.rbi.org.in/Scripts/BS_ViewMasDirections.aspx?id=1215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Yuvanedhi Kumarasamy</dc:creator>
  <cp:keywords/>
  <dc:description/>
  <cp:lastModifiedBy>Yuvanedhi Kumarasamy</cp:lastModifiedBy>
  <cp:revision>1</cp:revision>
  <dcterms:created xsi:type="dcterms:W3CDTF">2024-01-18T11:29:00Z</dcterms:created>
  <dcterms:modified xsi:type="dcterms:W3CDTF">2024-01-18T11:32:00Z</dcterms:modified>
</cp:coreProperties>
</file>